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4ECA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932815</wp:posOffset>
            </wp:positionH>
            <wp:positionV relativeFrom="paragraph">
              <wp:posOffset>205740</wp:posOffset>
            </wp:positionV>
            <wp:extent cx="5600700" cy="23050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C50D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3CCE798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6221F4C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 w14:paraId="139AF5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 w14:paraId="05322C1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滕龙发〔202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4B2AF18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883" w:firstLineChars="200"/>
        <w:jc w:val="center"/>
        <w:textAlignment w:val="auto"/>
        <w:rPr>
          <w:rFonts w:ascii="宋体" w:hAnsi="宋体"/>
          <w:b/>
          <w:sz w:val="44"/>
          <w:szCs w:val="44"/>
        </w:rPr>
      </w:pPr>
    </w:p>
    <w:p w14:paraId="775FC5A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883" w:firstLineChars="200"/>
        <w:jc w:val="center"/>
        <w:textAlignment w:val="auto"/>
        <w:rPr>
          <w:rFonts w:ascii="宋体" w:hAnsi="宋体"/>
          <w:b/>
          <w:sz w:val="44"/>
          <w:szCs w:val="44"/>
        </w:rPr>
      </w:pPr>
    </w:p>
    <w:p w14:paraId="05DE861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中共龙阳镇委员会</w:t>
      </w:r>
    </w:p>
    <w:p w14:paraId="6F7BF7D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36"/>
          <w:sz w:val="44"/>
          <w:szCs w:val="44"/>
        </w:rPr>
        <w:t>龙阳镇人民政府</w:t>
      </w:r>
    </w:p>
    <w:p w14:paraId="28844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</w:pP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eastAsia="方正小标宋简体" w:cs="仿宋_GB2312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sz w:val="44"/>
          <w:szCs w:val="44"/>
          <w:shd w:val="clear" w:color="auto" w:fill="FFFFFF"/>
        </w:rPr>
        <w:t>年度法治政府建设情况报告</w:t>
      </w:r>
    </w:p>
    <w:p w14:paraId="1C66E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 w14:paraId="5339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年以来，在市委、市政府和市委依法治市办的坚强领导下，龙阳镇坚持以习近平新时代中国特色社会主义思想为指导，深入贯彻落实习近平法治思想和党的二十届三中全会精神，紧紧围绕全镇发展大局，依法全面履行政府职能，切实抓好建设法治政府各项工作。现将我镇2024年度法治政府建设情况报告如下：</w:t>
      </w:r>
    </w:p>
    <w:p w14:paraId="17C02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一、2024年度推进法治政府建设的主要举措和成效</w:t>
      </w:r>
    </w:p>
    <w:p w14:paraId="47F5F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一是加强组织领导，把牢法治建设方向。</w:t>
      </w:r>
      <w:r>
        <w:rPr>
          <w:rFonts w:hint="eastAsia"/>
          <w:lang w:val="en-US" w:eastAsia="zh-CN"/>
        </w:rPr>
        <w:t>始终坚持党对法治建设的绝对领导，结合人员变动实际，不断优化调整依法治镇委员会领导小组及其各协调小组成员，切实发挥好依法治镇委员会牵头抓总、把关定向作用。</w:t>
      </w:r>
      <w:r>
        <w:rPr>
          <w:rFonts w:hint="default"/>
          <w:lang w:val="en-US" w:eastAsia="zh-CN"/>
        </w:rPr>
        <w:t>把学习党的二十大精神、习近平法治思想贯穿法治建设的全过程、各方面，</w:t>
      </w:r>
      <w:r>
        <w:rPr>
          <w:rFonts w:hint="eastAsia"/>
          <w:lang w:val="en-US" w:eastAsia="zh-CN"/>
        </w:rPr>
        <w:t>利用</w:t>
      </w:r>
      <w:r>
        <w:rPr>
          <w:rFonts w:hint="default"/>
          <w:lang w:val="en-US" w:eastAsia="zh-CN"/>
        </w:rPr>
        <w:t>党委理论学习中心组、周一工作例会、“三会一课”等方式开展法治学习10余次，</w:t>
      </w:r>
      <w:r>
        <w:rPr>
          <w:rFonts w:hint="eastAsia"/>
          <w:lang w:val="en-US" w:eastAsia="zh-CN"/>
        </w:rPr>
        <w:t>持续提升</w:t>
      </w:r>
      <w:r>
        <w:rPr>
          <w:rFonts w:hint="default"/>
          <w:lang w:val="en-US" w:eastAsia="zh-CN"/>
        </w:rPr>
        <w:t>镇村干部的法治意识。</w:t>
      </w:r>
      <w:r>
        <w:rPr>
          <w:rFonts w:hint="eastAsia"/>
          <w:lang w:val="en-US" w:eastAsia="zh-CN"/>
        </w:rPr>
        <w:t>坚持</w:t>
      </w:r>
      <w:r>
        <w:rPr>
          <w:rFonts w:hint="default"/>
          <w:lang w:val="en-US" w:eastAsia="zh-CN"/>
        </w:rPr>
        <w:t>将法治</w:t>
      </w:r>
      <w:r>
        <w:rPr>
          <w:rFonts w:hint="eastAsia"/>
          <w:lang w:val="en-US" w:eastAsia="zh-CN"/>
        </w:rPr>
        <w:t>政府</w:t>
      </w:r>
      <w:r>
        <w:rPr>
          <w:rFonts w:hint="default"/>
          <w:lang w:val="en-US" w:eastAsia="zh-CN"/>
        </w:rPr>
        <w:t>建设</w:t>
      </w:r>
      <w:r>
        <w:rPr>
          <w:rFonts w:hint="eastAsia"/>
          <w:lang w:val="en-US" w:eastAsia="zh-CN"/>
        </w:rPr>
        <w:t>工作</w:t>
      </w:r>
      <w:r>
        <w:rPr>
          <w:rFonts w:hint="default"/>
          <w:lang w:val="en-US" w:eastAsia="zh-CN"/>
        </w:rPr>
        <w:t>列入重要议事日程</w:t>
      </w:r>
      <w:r>
        <w:rPr>
          <w:rFonts w:hint="eastAsia"/>
          <w:lang w:val="en-US" w:eastAsia="zh-CN"/>
        </w:rPr>
        <w:t>，把法治建设成效纳入各总支、村年度工作综合实绩考核指标体系，形成分级负责、分工实施的工作责任机制，</w:t>
      </w:r>
      <w:r>
        <w:rPr>
          <w:rFonts w:hint="default"/>
          <w:lang w:val="en-US" w:eastAsia="zh-CN"/>
        </w:rPr>
        <w:t>扎实推动法治</w:t>
      </w:r>
      <w:r>
        <w:rPr>
          <w:rFonts w:hint="eastAsia"/>
          <w:lang w:val="en-US" w:eastAsia="zh-CN"/>
        </w:rPr>
        <w:t>政府</w:t>
      </w:r>
      <w:r>
        <w:rPr>
          <w:rFonts w:hint="default"/>
          <w:lang w:val="en-US" w:eastAsia="zh-CN"/>
        </w:rPr>
        <w:t>建设各项工作部署落地生根。</w:t>
      </w:r>
    </w:p>
    <w:p w14:paraId="4C4B5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二是坚持依法行政，提升社会治理成效。</w:t>
      </w:r>
      <w:r>
        <w:rPr>
          <w:rFonts w:hint="eastAsia"/>
          <w:lang w:val="en-US" w:eastAsia="zh-CN"/>
        </w:rPr>
        <w:t>严格执行行政规范性文件合法性审查制度，研究制定《关于建立合法性审查监督工作机制的意见》，完成镇级、村级合同协议及其他法制事务审核74件次。聘任16名执业律师担任村级法律顾问，为群众提供法律援助2件，帮助修订村规民约10余份，调处群众矛盾纠纷101起。坚持抓好政务公开栏建设，围绕群众关心关注的教育、医疗、文化等领域，主动公开政府信息20余条，督促各村录入“三务”公开各类信息500余条，实现“应公开、尽公开”。定期组织开展“政府开放日”活动，针对涉及人民群众切身利益、需要社会广泛知晓的公共政策措施及公共建设项目，收集群众意见建议40余条。</w:t>
      </w:r>
    </w:p>
    <w:p w14:paraId="11DDC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三是强化宣传引导，营造浓厚学法氛围。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 xml:space="preserve">着力打造“e呼善应”社会治理品牌、“e善调”多元化解模式，村级法治文化宣传阵地实现56个村全覆盖。利用“山水龙阳”微信公众号、各村微信工作群推送普法宣传信息和短视频50余条，动员各村“两委”干部、网格员、公益岗等在“3·15” 国际消费者权益日“ 12·4 </w:t>
      </w:r>
      <w:r>
        <w:rPr>
          <w:rFonts w:hint="default" w:cs="仿宋_GB2312"/>
          <w:color w:val="000000"/>
          <w:kern w:val="0"/>
          <w:sz w:val="32"/>
          <w:szCs w:val="32"/>
          <w:lang w:val="en-US" w:eastAsia="zh-CN"/>
        </w:rPr>
        <w:t>”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>全国法制宣传日等时间节点开展法治宣传活动10</w:t>
      </w:r>
      <w:bookmarkStart w:id="0" w:name="_GoBack"/>
      <w:bookmarkEnd w:id="0"/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>余次，印制发放宣传单页8000余份，制作展板、横幅300余个。大力实施</w:t>
      </w:r>
      <w:r>
        <w:rPr>
          <w:rFonts w:hint="default" w:cs="仿宋_GB2312"/>
          <w:color w:val="000000"/>
          <w:kern w:val="0"/>
          <w:sz w:val="32"/>
          <w:szCs w:val="32"/>
          <w:lang w:val="en-US" w:eastAsia="zh-CN"/>
        </w:rPr>
        <w:t>法治带头人、法律明白人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>培养工程</w:t>
      </w:r>
      <w:r>
        <w:rPr>
          <w:rFonts w:hint="default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>打造241人的“两人”队伍，</w:t>
      </w:r>
      <w:r>
        <w:rPr>
          <w:rFonts w:hint="default" w:cs="仿宋_GB2312"/>
          <w:color w:val="000000"/>
          <w:kern w:val="0"/>
          <w:sz w:val="32"/>
          <w:szCs w:val="32"/>
          <w:lang w:val="en-US" w:eastAsia="zh-CN"/>
        </w:rPr>
        <w:t>其中一人荣获枣庄市第二届农村“法治带头人”“法律明白人”“双十佳”称号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>，群众尊法学法守法用法的意识不断增强。</w:t>
      </w:r>
    </w:p>
    <w:p w14:paraId="47FED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</w:t>
      </w:r>
      <w:r>
        <w:rPr>
          <w:rFonts w:hint="default" w:ascii="黑体" w:hAnsi="黑体" w:eastAsia="黑体" w:cs="黑体"/>
          <w:lang w:val="en-US" w:eastAsia="zh-CN"/>
        </w:rPr>
        <w:t>202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default" w:ascii="黑体" w:hAnsi="黑体" w:eastAsia="黑体" w:cs="黑体"/>
          <w:lang w:val="en-US" w:eastAsia="zh-CN"/>
        </w:rPr>
        <w:t>年度推进法治政府建设存在的不足和原因</w:t>
      </w:r>
    </w:p>
    <w:p w14:paraId="54149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一是法治宣传教育效果不佳。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/>
        </w:rPr>
        <w:t>法治宣传不够精准，没有做到“按需普法”，法治宣传内容与百姓生活、社会热点结合不够紧密，导致部分老年群众、妇女儿童法律观念淡薄、依法维权意识较差。</w:t>
      </w:r>
    </w:p>
    <w:p w14:paraId="261DA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二是执法队伍素质有待提升。</w:t>
      </w:r>
      <w:r>
        <w:rPr>
          <w:rFonts w:hint="eastAsia"/>
          <w:lang w:val="en-US" w:eastAsia="zh-CN"/>
        </w:rPr>
        <w:t>由于基层执法工作“面广量大”，难以开展系统、专业的法律学习培训，再加之人员流动性较大、执法队伍不稳定，导致部分执法人员业务水平不高，开展执法不够规范。</w:t>
      </w:r>
    </w:p>
    <w:p w14:paraId="02448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default" w:ascii="黑体" w:hAnsi="黑体" w:eastAsia="黑体" w:cs="黑体"/>
          <w:lang w:val="en-US" w:eastAsia="zh-CN"/>
        </w:rPr>
        <w:t>202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default" w:ascii="黑体" w:hAnsi="黑体" w:eastAsia="黑体" w:cs="黑体"/>
          <w:lang w:val="en-US" w:eastAsia="zh-CN"/>
        </w:rPr>
        <w:t>年度党政主要负责人履行推进法治建设第一责任人职责，加强法治政府建设的有关情况</w:t>
      </w:r>
    </w:p>
    <w:p w14:paraId="46777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一是</w:t>
      </w:r>
      <w:r>
        <w:rPr>
          <w:rFonts w:hint="default" w:ascii="楷体_GB2312" w:hAnsi="楷体_GB2312" w:eastAsia="楷体_GB2312" w:cs="楷体_GB2312"/>
          <w:lang w:val="en-US" w:eastAsia="zh-CN"/>
        </w:rPr>
        <w:t>强化担当作为，压实</w:t>
      </w:r>
      <w:r>
        <w:rPr>
          <w:rFonts w:hint="eastAsia" w:ascii="楷体_GB2312" w:hAnsi="楷体_GB2312" w:eastAsia="楷体_GB2312" w:cs="楷体_GB2312"/>
          <w:lang w:val="en-US" w:eastAsia="zh-CN"/>
        </w:rPr>
        <w:t>工作</w:t>
      </w:r>
      <w:r>
        <w:rPr>
          <w:rFonts w:hint="default" w:ascii="楷体_GB2312" w:hAnsi="楷体_GB2312" w:eastAsia="楷体_GB2312" w:cs="楷体_GB2312"/>
          <w:lang w:val="en-US" w:eastAsia="zh-CN"/>
        </w:rPr>
        <w:t>责任</w:t>
      </w:r>
      <w:r>
        <w:rPr>
          <w:rFonts w:hint="eastAsia" w:ascii="楷体_GB2312" w:hAnsi="楷体_GB2312" w:eastAsia="楷体_GB2312" w:cs="楷体_GB2312"/>
          <w:lang w:val="en-US" w:eastAsia="zh-CN"/>
        </w:rPr>
        <w:t>。</w:t>
      </w:r>
      <w:r>
        <w:rPr>
          <w:rFonts w:hint="default"/>
          <w:lang w:val="en-US" w:eastAsia="zh-CN"/>
        </w:rPr>
        <w:t>将法治建设与全镇中心工作同研究、同部署、同推进，对重点法治工作亲自谋划、亲自部署、亲自参与。持续强化压力传导，督促机关各部门、各党总支、各村严格履行法治建设责任，并定期开展法治建设工作专项督导检查，</w:t>
      </w:r>
      <w:r>
        <w:rPr>
          <w:rFonts w:hint="eastAsia"/>
          <w:lang w:val="en-US" w:eastAsia="zh-CN"/>
        </w:rPr>
        <w:t>切实推动法治建设工作走深走实。</w:t>
      </w:r>
    </w:p>
    <w:p w14:paraId="0A158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二是坚持以上率下，抓好法治学习。</w:t>
      </w:r>
      <w:r>
        <w:rPr>
          <w:rFonts w:hint="eastAsia" w:ascii="仿宋_GB2312" w:hAnsi="仿宋_GB2312" w:eastAsia="仿宋_GB2312" w:cs="仿宋_GB2312"/>
          <w:lang w:val="en-US" w:eastAsia="zh-CN"/>
        </w:rPr>
        <w:t>采</w:t>
      </w:r>
      <w:r>
        <w:rPr>
          <w:rFonts w:hint="eastAsia"/>
          <w:lang w:val="en-US" w:eastAsia="zh-CN"/>
        </w:rPr>
        <w:t>取个人自学、集中学习、交流研讨等方式，用好用活灯塔—党建在线、学习强国、微信公众号等平台，对全面依法治国的新理念新思想新战略进行深入学习领会，形成了领导干部带头学，机关干部积极学的良好氛围。</w:t>
      </w:r>
    </w:p>
    <w:p w14:paraId="75B13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三是树牢法治思维，规范决策程序。</w:t>
      </w:r>
      <w:r>
        <w:rPr>
          <w:rFonts w:hint="eastAsia"/>
          <w:lang w:val="en-US" w:eastAsia="zh-CN"/>
        </w:rPr>
        <w:t>严格落实“三重一大”集体决策制度，对重要项目安排和大额资金使用等重大事项，坚持按照“集体领导、民主集中、个别酝酿、会议决定”的原则，经集体研究后作出决定。严格执行行政规范性文件合法性审查制度，聘请法律顾问对党政文件、重大行政决策、合同协议等进行审查，不断提升行政决策公信力和执行力。</w:t>
      </w:r>
    </w:p>
    <w:p w14:paraId="47519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  <w:lang w:val="en-US" w:eastAsia="zh-CN"/>
        </w:rPr>
        <w:t>、</w:t>
      </w:r>
      <w:r>
        <w:rPr>
          <w:rFonts w:hint="default" w:ascii="黑体" w:hAnsi="黑体" w:eastAsia="黑体" w:cs="黑体"/>
          <w:lang w:val="en-US" w:eastAsia="zh-CN"/>
        </w:rPr>
        <w:t>202</w:t>
      </w:r>
      <w:r>
        <w:rPr>
          <w:rFonts w:hint="eastAsia" w:ascii="黑体" w:hAnsi="黑体" w:eastAsia="黑体" w:cs="黑体"/>
          <w:lang w:val="en-US" w:eastAsia="zh-CN"/>
        </w:rPr>
        <w:t>5</w:t>
      </w:r>
      <w:r>
        <w:rPr>
          <w:rFonts w:hint="default" w:ascii="黑体" w:hAnsi="黑体" w:eastAsia="黑体" w:cs="黑体"/>
          <w:lang w:val="en-US" w:eastAsia="zh-CN"/>
        </w:rPr>
        <w:t>年度推进法治政府建设的主要安排</w:t>
      </w:r>
    </w:p>
    <w:p w14:paraId="7FB80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一是持续强化理论学习。</w:t>
      </w:r>
      <w:r>
        <w:rPr>
          <w:rFonts w:hint="eastAsia" w:ascii="仿宋_GB2312" w:hAnsi="仿宋_GB2312" w:eastAsia="仿宋_GB2312" w:cs="仿宋_GB2312"/>
          <w:lang w:val="en-US" w:eastAsia="zh-CN"/>
        </w:rPr>
        <w:t>坚持把理论学习作为法治建设的重要内容，持续抓好习近平法治思想、党的二十届三中全会精神等内容的学习，进一步完善党委理论学习中心组、领导干部法治讲座制度，大力开展法治教育培训活动，引导全镇党员干部善于运用法治思维和法治方式开展工作、解决问题。</w:t>
      </w:r>
    </w:p>
    <w:p w14:paraId="5DFE5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二是深入推进依法行政。</w:t>
      </w:r>
      <w:r>
        <w:rPr>
          <w:rFonts w:hint="eastAsia" w:ascii="仿宋_GB2312" w:hAnsi="仿宋_GB2312" w:eastAsia="仿宋_GB2312" w:cs="仿宋_GB2312"/>
          <w:lang w:val="en-US" w:eastAsia="zh-CN"/>
        </w:rPr>
        <w:t>进一步完善行政执法程序，加大执法监督力度，加强行政执法人员的培训和管理，提高执法人员素质和执法水平。聚焦科学民主依法决策、加强政务公开、健全行政监督体系等重点工作，加快推进政府职能转变，促进政府工作制度化、规范化、程序化，加快建设法治政府。</w:t>
      </w:r>
    </w:p>
    <w:p w14:paraId="60419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三是全面提升法治水平。</w:t>
      </w:r>
      <w:r>
        <w:rPr>
          <w:rFonts w:hint="eastAsia"/>
          <w:lang w:val="en-US" w:eastAsia="zh-CN"/>
        </w:rPr>
        <w:t>坚持和发展新时代“枫桥经验”，用好“一站式”矛调中心，持续擦亮“e呼善应”社会治理品牌。不断深化基层公共法律服务体系建设，持续强化各村入驻力量，推动“一村（社区）一法律顾问”从“有形覆盖”向“有效覆盖”转变。</w:t>
      </w:r>
    </w:p>
    <w:p w14:paraId="70D95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四是坚持抓好宣传教育。</w:t>
      </w:r>
      <w:r>
        <w:rPr>
          <w:rFonts w:hint="eastAsia"/>
          <w:lang w:val="en-US" w:eastAsia="zh-CN"/>
        </w:rPr>
        <w:t>坚持</w:t>
      </w:r>
      <w:r>
        <w:rPr>
          <w:rFonts w:hint="default"/>
          <w:lang w:val="en-US" w:eastAsia="zh-CN"/>
        </w:rPr>
        <w:t>“谁执法谁普法”的工作理念，将普法宣传融入执法和公共法律服务的全过程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各方面，</w:t>
      </w:r>
      <w:r>
        <w:rPr>
          <w:rFonts w:hint="eastAsia"/>
          <w:lang w:val="en-US" w:eastAsia="zh-CN"/>
        </w:rPr>
        <w:t>强化</w:t>
      </w:r>
      <w:r>
        <w:rPr>
          <w:rFonts w:hint="default"/>
          <w:lang w:val="en-US" w:eastAsia="zh-CN"/>
        </w:rPr>
        <w:t>一线执法</w:t>
      </w:r>
      <w:r>
        <w:rPr>
          <w:rFonts w:hint="eastAsia"/>
          <w:lang w:val="en-US" w:eastAsia="zh-CN"/>
        </w:rPr>
        <w:t>人员</w:t>
      </w:r>
      <w:r>
        <w:rPr>
          <w:rFonts w:hint="default"/>
          <w:lang w:val="en-US" w:eastAsia="zh-CN"/>
        </w:rPr>
        <w:t>边</w:t>
      </w:r>
      <w:r>
        <w:rPr>
          <w:rFonts w:hint="eastAsia"/>
          <w:lang w:val="en-US" w:eastAsia="zh-CN"/>
        </w:rPr>
        <w:t>执法</w:t>
      </w:r>
      <w:r>
        <w:rPr>
          <w:rFonts w:hint="default"/>
          <w:lang w:val="en-US" w:eastAsia="zh-CN"/>
        </w:rPr>
        <w:t>边普法的常态化宣传方式。</w:t>
      </w:r>
      <w:r>
        <w:rPr>
          <w:rFonts w:hint="eastAsia"/>
          <w:lang w:val="en-US" w:eastAsia="zh-CN"/>
        </w:rPr>
        <w:t>持续拓宽普法宣传渠道，依托新时代文明实践阵地，用好微信、微博、微视频等平台，大力宣传法治思想和法律知识，全面营造学法、守法、用法的良好氛围。</w:t>
      </w:r>
    </w:p>
    <w:p w14:paraId="18883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p w14:paraId="37FF2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p w14:paraId="617DC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中共龙阳镇委员会</w:t>
      </w:r>
    </w:p>
    <w:p w14:paraId="4006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spacing w:val="23"/>
          <w:sz w:val="32"/>
          <w:lang w:val="en-US" w:eastAsia="zh-CN"/>
        </w:rPr>
        <w:t>龙阳镇人民政府</w:t>
      </w:r>
    </w:p>
    <w:p w14:paraId="45DE5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2024年12月23日</w:t>
      </w:r>
    </w:p>
    <w:sectPr>
      <w:footerReference r:id="rId5" w:type="default"/>
      <w:pgSz w:w="11906" w:h="16838"/>
      <w:pgMar w:top="1701" w:right="1587" w:bottom="1701" w:left="1587" w:header="851" w:footer="1191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1D2F54-625E-4693-B3CF-AE8840282F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53AA89-606C-4153-B02E-EE3F2E3C7DEA}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F7AD94-3A87-444F-AB78-7BF476D8BCC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1F9C6F4-592B-4985-9BF5-9DC45FFC2D0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4B03709-F044-41EF-9473-5E54CDC56BB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FBAA326-E19B-4C77-848D-CFBFFD6ED4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23688">
    <w:pPr>
      <w:pStyle w:val="6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721F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7721F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jU3NmIxMzIzNzRkMTM1N2I4OWI4NGI1Njc4NmEifQ=="/>
    <w:docVar w:name="KSO_WPS_MARK_KEY" w:val="dd95d688-1754-4543-838d-3f81f0ace874"/>
  </w:docVars>
  <w:rsids>
    <w:rsidRoot w:val="00000000"/>
    <w:rsid w:val="015C2B0C"/>
    <w:rsid w:val="05494E8E"/>
    <w:rsid w:val="085A4371"/>
    <w:rsid w:val="0C3365AC"/>
    <w:rsid w:val="0E003217"/>
    <w:rsid w:val="10B5346E"/>
    <w:rsid w:val="10CB2E6B"/>
    <w:rsid w:val="10CF03FC"/>
    <w:rsid w:val="116B08C8"/>
    <w:rsid w:val="11E03486"/>
    <w:rsid w:val="13C27A4C"/>
    <w:rsid w:val="150A61CC"/>
    <w:rsid w:val="16F04E3A"/>
    <w:rsid w:val="174A0B1C"/>
    <w:rsid w:val="18132783"/>
    <w:rsid w:val="184541B6"/>
    <w:rsid w:val="1A4D143E"/>
    <w:rsid w:val="1C876837"/>
    <w:rsid w:val="1CCD1010"/>
    <w:rsid w:val="1D0711C0"/>
    <w:rsid w:val="1DA46CAB"/>
    <w:rsid w:val="1E6E0781"/>
    <w:rsid w:val="201D6424"/>
    <w:rsid w:val="21BD5766"/>
    <w:rsid w:val="2A40395D"/>
    <w:rsid w:val="2AAD2CE8"/>
    <w:rsid w:val="2F442B99"/>
    <w:rsid w:val="2F6235AC"/>
    <w:rsid w:val="30A8011F"/>
    <w:rsid w:val="314966A2"/>
    <w:rsid w:val="31C810F1"/>
    <w:rsid w:val="32F61077"/>
    <w:rsid w:val="330E7D91"/>
    <w:rsid w:val="34465808"/>
    <w:rsid w:val="388A41BF"/>
    <w:rsid w:val="39CF7241"/>
    <w:rsid w:val="3B2A53A6"/>
    <w:rsid w:val="3B332277"/>
    <w:rsid w:val="3CC500FC"/>
    <w:rsid w:val="3E533019"/>
    <w:rsid w:val="3F3A354A"/>
    <w:rsid w:val="41107792"/>
    <w:rsid w:val="41F12D64"/>
    <w:rsid w:val="424D7183"/>
    <w:rsid w:val="43E17227"/>
    <w:rsid w:val="44001251"/>
    <w:rsid w:val="4601219E"/>
    <w:rsid w:val="463B0205"/>
    <w:rsid w:val="47B37541"/>
    <w:rsid w:val="47D06A35"/>
    <w:rsid w:val="49C66B8E"/>
    <w:rsid w:val="4B34182D"/>
    <w:rsid w:val="4BD00C0E"/>
    <w:rsid w:val="4C0D0258"/>
    <w:rsid w:val="4C262135"/>
    <w:rsid w:val="50BE3603"/>
    <w:rsid w:val="53BB7BA0"/>
    <w:rsid w:val="556710D7"/>
    <w:rsid w:val="56D86635"/>
    <w:rsid w:val="57E12A8B"/>
    <w:rsid w:val="5985169A"/>
    <w:rsid w:val="5C9F11D7"/>
    <w:rsid w:val="5CA359A2"/>
    <w:rsid w:val="610B0DB2"/>
    <w:rsid w:val="619A59FF"/>
    <w:rsid w:val="639934AF"/>
    <w:rsid w:val="641162A7"/>
    <w:rsid w:val="65A33645"/>
    <w:rsid w:val="672725A6"/>
    <w:rsid w:val="677A5F70"/>
    <w:rsid w:val="69D83F45"/>
    <w:rsid w:val="6B3B7C1F"/>
    <w:rsid w:val="6B8C020C"/>
    <w:rsid w:val="6C0D5103"/>
    <w:rsid w:val="6C2A5D72"/>
    <w:rsid w:val="6C4B0ADA"/>
    <w:rsid w:val="6C936D0E"/>
    <w:rsid w:val="6EB43B4A"/>
    <w:rsid w:val="6F8E7177"/>
    <w:rsid w:val="715C6597"/>
    <w:rsid w:val="741D133F"/>
    <w:rsid w:val="753A0722"/>
    <w:rsid w:val="758F6FBE"/>
    <w:rsid w:val="75AB7C63"/>
    <w:rsid w:val="770B16B4"/>
    <w:rsid w:val="77F43EF6"/>
    <w:rsid w:val="793F3897"/>
    <w:rsid w:val="798A3815"/>
    <w:rsid w:val="7A23506E"/>
    <w:rsid w:val="7BEC3263"/>
    <w:rsid w:val="7CBA16E7"/>
    <w:rsid w:val="7D3A32CE"/>
    <w:rsid w:val="7D691F82"/>
    <w:rsid w:val="7E0A24E8"/>
    <w:rsid w:val="7F43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/>
      <w:spacing w:line="58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pageBreakBefore w:val="0"/>
      <w:widowControl w:val="0"/>
      <w:spacing w:before="0" w:beforeAutospacing="0" w:after="0" w:afterAutospacing="0" w:line="580" w:lineRule="exact"/>
      <w:ind w:firstLine="640" w:firstLineChars="200"/>
      <w:jc w:val="both"/>
      <w:outlineLvl w:val="0"/>
    </w:pPr>
    <w:rPr>
      <w:rFonts w:hint="eastAsia" w:ascii="方正小标宋简体" w:hAnsi="方正小标宋简体" w:eastAsia="黑体" w:cs="黑体"/>
      <w:kern w:val="44"/>
      <w:lang w:bidi="ar"/>
    </w:rPr>
  </w:style>
  <w:style w:type="paragraph" w:styleId="3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outlineLvl w:val="1"/>
    </w:pPr>
    <w:rPr>
      <w:rFonts w:ascii="楷体_GB2312" w:hAnsi="楷体_GB2312" w:eastAsia="楷体_GB2312" w:cs="楷体"/>
      <w:b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rFonts w:ascii="仿宋_GB2312" w:hAnsi="仿宋_GB2312" w:cs="仿宋"/>
      <w:b/>
    </w:rPr>
  </w:style>
  <w:style w:type="paragraph" w:styleId="5">
    <w:name w:val="heading 4"/>
    <w:basedOn w:val="1"/>
    <w:next w:val="1"/>
    <w:link w:val="11"/>
    <w:autoRedefine/>
    <w:semiHidden/>
    <w:unhideWhenUsed/>
    <w:qFormat/>
    <w:uiPriority w:val="0"/>
    <w:pPr>
      <w:keepNext w:val="0"/>
      <w:keepLines w:val="0"/>
      <w:widowControl w:val="0"/>
      <w:spacing w:beforeLines="0" w:beforeAutospacing="0" w:afterLines="0" w:afterAutospacing="0" w:line="580" w:lineRule="exact"/>
      <w:outlineLvl w:val="3"/>
    </w:pPr>
    <w:rPr>
      <w:rFonts w:hint="eastAsia" w:cs="Times New Roman"/>
    </w:rPr>
  </w:style>
  <w:style w:type="character" w:default="1" w:styleId="9">
    <w:name w:val="Default Paragraph Font"/>
    <w:autoRedefine/>
    <w:semiHidden/>
    <w:qFormat/>
    <w:uiPriority w:val="0"/>
    <w:rPr>
      <w:rFonts w:ascii="Times New Roman" w:hAnsi="Times New Roman" w:eastAsia="宋体"/>
      <w:sz w:val="28"/>
    </w:rPr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宋体" w:hAnsi="宋体" w:eastAsia="宋体" w:cs="宋体"/>
      <w:sz w:val="24"/>
      <w:szCs w:val="24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文章标题"/>
    <w:basedOn w:val="1"/>
    <w:qFormat/>
    <w:uiPriority w:val="0"/>
    <w:pPr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character" w:customStyle="1" w:styleId="11">
    <w:name w:val="标题 4 Char"/>
    <w:link w:val="5"/>
    <w:autoRedefine/>
    <w:qFormat/>
    <w:uiPriority w:val="0"/>
    <w:rPr>
      <w:rFonts w:hint="eastAsia" w:ascii="仿宋_GB2312" w:hAnsi="仿宋_GB2312" w:eastAsia="仿宋_GB2312" w:cs="Times New Roman"/>
      <w:sz w:val="32"/>
      <w:szCs w:val="32"/>
    </w:rPr>
  </w:style>
  <w:style w:type="character" w:customStyle="1" w:styleId="12">
    <w:name w:val="标题 2 Char"/>
    <w:link w:val="3"/>
    <w:autoRedefine/>
    <w:qFormat/>
    <w:uiPriority w:val="0"/>
    <w:rPr>
      <w:rFonts w:ascii="楷体_GB2312" w:hAnsi="楷体_GB2312" w:eastAsia="楷体_GB2312" w:cs="楷体"/>
      <w:b/>
      <w:szCs w:val="32"/>
    </w:rPr>
  </w:style>
  <w:style w:type="character" w:customStyle="1" w:styleId="13">
    <w:name w:val="标题 3 Char"/>
    <w:link w:val="4"/>
    <w:qFormat/>
    <w:uiPriority w:val="0"/>
    <w:rPr>
      <w:rFonts w:ascii="仿宋_GB2312" w:hAnsi="仿宋_GB2312" w:eastAsia="仿宋_GB2312" w:cs="仿宋"/>
      <w:b/>
      <w:szCs w:val="32"/>
    </w:rPr>
  </w:style>
  <w:style w:type="paragraph" w:customStyle="1" w:styleId="14">
    <w:name w:val="副标题2"/>
    <w:basedOn w:val="3"/>
    <w:next w:val="1"/>
    <w:autoRedefine/>
    <w:qFormat/>
    <w:uiPriority w:val="0"/>
    <w:pPr>
      <w:ind w:firstLine="0" w:firstLineChars="0"/>
      <w:jc w:val="center"/>
    </w:pPr>
    <w:rPr>
      <w:b w:val="0"/>
    </w:rPr>
  </w:style>
  <w:style w:type="character" w:customStyle="1" w:styleId="15">
    <w:name w:val="标题 1 Char"/>
    <w:link w:val="2"/>
    <w:autoRedefine/>
    <w:qFormat/>
    <w:uiPriority w:val="0"/>
    <w:rPr>
      <w:rFonts w:hint="eastAsia" w:ascii="方正小标宋简体" w:hAnsi="方正小标宋简体" w:eastAsia="黑体" w:cs="黑体"/>
      <w:kern w:val="44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2204</Words>
  <Characters>2257</Characters>
  <Lines>0</Lines>
  <Paragraphs>0</Paragraphs>
  <TotalTime>2</TotalTime>
  <ScaleCrop>false</ScaleCrop>
  <LinksUpToDate>false</LinksUpToDate>
  <CharactersWithSpaces>2260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2019-04-02T09:15:00Z</dcterms:created>
  <dc:creator>sdwan</dc:creator>
  <cp:lastModifiedBy>欢乐马</cp:lastModifiedBy>
  <cp:lastPrinted>2024-12-26T12:26:00Z</cp:lastPrinted>
  <dcterms:modified xsi:type="dcterms:W3CDTF">2025-02-21T03:45:40Z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719A89C6168A49188C364F608200114E_13</vt:lpwstr>
  </property>
  <property fmtid="{D5CDD505-2E9C-101B-9397-08002B2CF9AE}" pid="4" name="KSOTemplateDocerSaveRecord">
    <vt:lpwstr>eyJoZGlkIjoiNTJmM2JmMTAxOTcwNzY4NTIwMzYxOTRlYWM5ZjFkM2MiLCJ1c2VySWQiOiI2OTU4NjczMTkifQ==</vt:lpwstr>
  </property>
</Properties>
</file>